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7F" w:rsidRPr="0012017F" w:rsidRDefault="0012017F" w:rsidP="001201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017F">
        <w:rPr>
          <w:rFonts w:ascii="Times New Roman" w:eastAsia="Times New Roman" w:hAnsi="Times New Roman" w:cs="Times New Roman"/>
          <w:b/>
          <w:bCs/>
          <w:kern w:val="36"/>
          <w:sz w:val="48"/>
          <w:szCs w:val="48"/>
        </w:rPr>
        <w:t>Conventia de la Geneva</w:t>
      </w:r>
    </w:p>
    <w:p w:rsidR="0012017F" w:rsidRPr="0012017F" w:rsidRDefault="0012017F" w:rsidP="0012017F">
      <w:pPr>
        <w:spacing w:before="100" w:beforeAutospacing="1" w:after="100" w:afterAutospacing="1" w:line="240" w:lineRule="auto"/>
        <w:outlineLvl w:val="3"/>
        <w:rPr>
          <w:rFonts w:ascii="Times New Roman" w:eastAsia="Times New Roman" w:hAnsi="Times New Roman" w:cs="Times New Roman"/>
          <w:b/>
          <w:bCs/>
          <w:sz w:val="24"/>
          <w:szCs w:val="24"/>
        </w:rPr>
      </w:pPr>
      <w:r w:rsidRPr="0012017F">
        <w:rPr>
          <w:rFonts w:ascii="Times New Roman" w:eastAsia="Times New Roman" w:hAnsi="Times New Roman" w:cs="Times New Roman"/>
          <w:b/>
          <w:bCs/>
          <w:sz w:val="24"/>
          <w:szCs w:val="24"/>
        </w:rPr>
        <w:t>pentru protejarea producatorilor de fonograme impotriva reproducerii neautorizate a fonogramelor lor*)</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Publicat in Monitorul Oficial, Partea I nr. 156 din 17/04/1998</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 Traducere.</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Statele contractante, preocupate de extinderea din ce în ce mai mare a reproducerii neautorizate a fonogramelor şi de îngrijorarea ce rezultă din aceasta pentru interesele autorilor, ale artiştilor interpreţi sau executanţi şi ale producătorilor de fonograme, convinse că protecţia producătorilor de fonograme împotriva unor asemenea acte va servi în mod egal intereselor artiştilor interpreţi sau executanţi şi autorilor, ale căror execuţii şi opere sunt înregistrate pe fonogramele respective, recunoscând valoarea eforturilor depuse în acest domeniu de Organizaţia Naţiunilor Unite pentru Educaţie, Ştiinţă şi Cultură şi de Organizaţia Mondială a Proprietăţii Intelectuale, preocupate să nu aducă atingere în nici un mod convenţiilor internaţionale în vigoare şi, în mod deosebit, să nu împiedice cu nimic o acceptare mai largă a Convenţiei de la Roma din 26 octombrie 1961, care acordă o protecţie artiştilor interpreţi sau executanţi şi organismelor de radiodifuziune, ca şi producătorilor de fonograme, au convenit următoarele:</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1</w:t>
      </w:r>
      <w:r w:rsidRPr="0012017F">
        <w:rPr>
          <w:rFonts w:ascii="Times New Roman" w:eastAsia="Times New Roman" w:hAnsi="Times New Roman" w:cs="Times New Roman"/>
          <w:sz w:val="24"/>
          <w:szCs w:val="24"/>
        </w:rPr>
        <w:br/>
        <w:t>Definiţii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În sensul prezentei convenţii, prin:</w:t>
      </w:r>
      <w:r w:rsidRPr="0012017F">
        <w:rPr>
          <w:rFonts w:ascii="Times New Roman" w:eastAsia="Times New Roman" w:hAnsi="Times New Roman" w:cs="Times New Roman"/>
          <w:sz w:val="24"/>
          <w:szCs w:val="24"/>
        </w:rPr>
        <w:br/>
        <w:t>a) fonogramă se înţelege orice fixare exclusiv sonoră a sunetelor provenite dintr-o execuţie sau a altor sunete;</w:t>
      </w:r>
      <w:r w:rsidRPr="0012017F">
        <w:rPr>
          <w:rFonts w:ascii="Times New Roman" w:eastAsia="Times New Roman" w:hAnsi="Times New Roman" w:cs="Times New Roman"/>
          <w:sz w:val="24"/>
          <w:szCs w:val="24"/>
        </w:rPr>
        <w:br/>
        <w:t>b) producător de fonograme se înţelege persoana fizică sau juridică care fixează cea dintâi sunetele provenind dintr-o execuţie sau alte sunete;</w:t>
      </w:r>
      <w:r w:rsidRPr="0012017F">
        <w:rPr>
          <w:rFonts w:ascii="Times New Roman" w:eastAsia="Times New Roman" w:hAnsi="Times New Roman" w:cs="Times New Roman"/>
          <w:sz w:val="24"/>
          <w:szCs w:val="24"/>
        </w:rPr>
        <w:br/>
        <w:t>c) copie se înţelege un suport conţinând sunete reluate direct sau indirect de pe o fonogramă şi care încorporează totalitatea sau o parte substanţială a sunetelor fixate în această fonogramă;</w:t>
      </w:r>
      <w:r w:rsidRPr="0012017F">
        <w:rPr>
          <w:rFonts w:ascii="Times New Roman" w:eastAsia="Times New Roman" w:hAnsi="Times New Roman" w:cs="Times New Roman"/>
          <w:sz w:val="24"/>
          <w:szCs w:val="24"/>
        </w:rPr>
        <w:br/>
        <w:t>d) distribuire către public se înţelege orice act al cărui obiect este de a oferi copii, direct sau indirect, publicului, în general, sau oricărei părţi a acestuia.</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2</w:t>
      </w:r>
      <w:r w:rsidRPr="0012017F">
        <w:rPr>
          <w:rFonts w:ascii="Times New Roman" w:eastAsia="Times New Roman" w:hAnsi="Times New Roman" w:cs="Times New Roman"/>
          <w:sz w:val="24"/>
          <w:szCs w:val="24"/>
        </w:rPr>
        <w:br/>
        <w:t>Angajamentul statelor contractante.</w:t>
      </w:r>
      <w:r w:rsidRPr="0012017F">
        <w:rPr>
          <w:rFonts w:ascii="Times New Roman" w:eastAsia="Times New Roman" w:hAnsi="Times New Roman" w:cs="Times New Roman"/>
          <w:sz w:val="24"/>
          <w:szCs w:val="24"/>
        </w:rPr>
        <w:br/>
        <w:t>Criteriul protecţiei; obiectul protecţiei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Fiecare stat contractant se angajează să protejeze producătorii de fonograme resortisanţi ai altor state contractante împotriva producerii de copii făcute fără consimţământul producătorului şi împotriva importului unor asemenea copii, dacă producţia sau importul se face în scopul distribuirii către public, ca şi împotriva distribuirii acestor copii către public.</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3</w:t>
      </w:r>
      <w:r w:rsidRPr="0012017F">
        <w:rPr>
          <w:rFonts w:ascii="Times New Roman" w:eastAsia="Times New Roman" w:hAnsi="Times New Roman" w:cs="Times New Roman"/>
          <w:sz w:val="24"/>
          <w:szCs w:val="24"/>
        </w:rPr>
        <w:br/>
        <w:t>Aplicarea convenţiei de către statele contractante</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lastRenderedPageBreak/>
        <w:t>Legislaţiei naţionale a fiecărui stat contractant îi sunt rezervate mijloacele prin care prezenta convenţie va fi aplicată şi care vor cuprinde unul sau mai multe dintre mijloacele următoare: protecţia prin acordarea unui drept de autor sau a unui alt drept specific; protecţia prin intermediul legislaţiei privind concurenţa neloială; protecţia prin sancţiuni penale.</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4</w:t>
      </w:r>
      <w:r w:rsidRPr="0012017F">
        <w:rPr>
          <w:rFonts w:ascii="Times New Roman" w:eastAsia="Times New Roman" w:hAnsi="Times New Roman" w:cs="Times New Roman"/>
          <w:sz w:val="24"/>
          <w:szCs w:val="24"/>
        </w:rPr>
        <w:br/>
        <w:t>Durata protecţiei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Durata protecţiei acordate este rezervată legislaţiei naţionale a fiecărui stat contractant. Totuşi, dacă legea naţională prevede o durată specifică privind protecţia, această durată nu va putea fi mai mică de 20 de ani calculaţi de la încheierea fie a anului în cursul căruia sunetele încorporate în fonogramă au fost fixate pentru prima dată, fie a anului în cursul căruia fonograma a fost publicată pentru prima dată.</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5</w:t>
      </w:r>
      <w:r w:rsidRPr="0012017F">
        <w:rPr>
          <w:rFonts w:ascii="Times New Roman" w:eastAsia="Times New Roman" w:hAnsi="Times New Roman" w:cs="Times New Roman"/>
          <w:sz w:val="24"/>
          <w:szCs w:val="24"/>
        </w:rPr>
        <w:br/>
        <w:t>Formalităţi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Atunci când un stat contractant cere, în baza legislaţiei sale naţionale, îndeplinirea de formalităţi cu titlu de condiţie pentru protecţia producătorilor de fonograme, aceste exigenţe vor fi considerate ca îndeplinite, dacă toate copiile autorizate de pe fonogramă, care sunt distribuite publicului, sau învelişul care le conţine poartă o menţiune constituită din simbolul “P”, însoţit de indicarea anului primei publicări, aplicată într-un mod care să arate într-o manieră clară că protecţia este rezervată; dacă copiile sau învelişul lor nu permite identificarea producătorului, a deţinătorului dreptului sau a titularului licenţei exclusive (prin intermediul numelui, al mărcii sau al oricărei desemnări corespunzătoare), menţiunea va trebui să conţină, de asemenea, numele producătorului, al deţinătorului dreptului sau al titularului licenţei exclusive.</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6</w:t>
      </w:r>
      <w:r w:rsidRPr="0012017F">
        <w:rPr>
          <w:rFonts w:ascii="Times New Roman" w:eastAsia="Times New Roman" w:hAnsi="Times New Roman" w:cs="Times New Roman"/>
          <w:sz w:val="24"/>
          <w:szCs w:val="24"/>
        </w:rPr>
        <w:br/>
        <w:t>Limite ale protecţiei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Orice stat contractant care asigură protecţia prin intermediul dreptului de autor sau al unui alt drept specific, sau chiar prin intermediul sancţiunilor penale, poate, în legislaţia sa naţională, să prevadă limitări ale protecţiei producătorilor de fonograme, de aceeaşi natură cu acelea care sunt admise în materie de protecţie a autorilor de opere literare şi artistice. Totuşi nu va putea fi prevăzută nici o licenţă obligatorie, cu excepţia cazului în care sunt îndeplinite următoarele condiţii:</w:t>
      </w:r>
      <w:r w:rsidRPr="0012017F">
        <w:rPr>
          <w:rFonts w:ascii="Times New Roman" w:eastAsia="Times New Roman" w:hAnsi="Times New Roman" w:cs="Times New Roman"/>
          <w:sz w:val="24"/>
          <w:szCs w:val="24"/>
        </w:rPr>
        <w:br/>
        <w:t>a) reproducerea este destinată utilizării exclusiv în învăţământ şi cercetare ştiinţifică;</w:t>
      </w:r>
      <w:r w:rsidRPr="0012017F">
        <w:rPr>
          <w:rFonts w:ascii="Times New Roman" w:eastAsia="Times New Roman" w:hAnsi="Times New Roman" w:cs="Times New Roman"/>
          <w:sz w:val="24"/>
          <w:szCs w:val="24"/>
        </w:rPr>
        <w:br/>
        <w:t>b) licenţa nu va fi valabilă decât pentru reproducerea pe teritoriul statului contractant a cărui autoritate competentă a acordat licenţa şi nu se va extinde la exportul copiilor;</w:t>
      </w:r>
      <w:r w:rsidRPr="0012017F">
        <w:rPr>
          <w:rFonts w:ascii="Times New Roman" w:eastAsia="Times New Roman" w:hAnsi="Times New Roman" w:cs="Times New Roman"/>
          <w:sz w:val="24"/>
          <w:szCs w:val="24"/>
        </w:rPr>
        <w:br/>
        <w:t>c) reproducerea făcută în baza licenţei dă dreptul la o remuneraţie echitabilă, care se fixează de respectiva autoritate, ţinând seama, printre alte elemente, de numărul de copii care vor fi realizate.</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7</w:t>
      </w:r>
      <w:r w:rsidRPr="0012017F">
        <w:rPr>
          <w:rFonts w:ascii="Times New Roman" w:eastAsia="Times New Roman" w:hAnsi="Times New Roman" w:cs="Times New Roman"/>
          <w:sz w:val="24"/>
          <w:szCs w:val="24"/>
        </w:rPr>
        <w:br/>
        <w:t>Protejarea anumitor situaţii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lastRenderedPageBreak/>
        <w:t>1. Protejarea dreptului de autor şi a drepturilor conexe.</w:t>
      </w:r>
      <w:r w:rsidRPr="0012017F">
        <w:rPr>
          <w:rFonts w:ascii="Times New Roman" w:eastAsia="Times New Roman" w:hAnsi="Times New Roman" w:cs="Times New Roman"/>
          <w:sz w:val="24"/>
          <w:szCs w:val="24"/>
        </w:rPr>
        <w:br/>
        <w:t>2. Protejarea artiştilor interpreţi sau executanţi.</w:t>
      </w:r>
      <w:r w:rsidRPr="0012017F">
        <w:rPr>
          <w:rFonts w:ascii="Times New Roman" w:eastAsia="Times New Roman" w:hAnsi="Times New Roman" w:cs="Times New Roman"/>
          <w:sz w:val="24"/>
          <w:szCs w:val="24"/>
        </w:rPr>
        <w:br/>
        <w:t>3. Neretroactivitatea convenţiei.</w:t>
      </w:r>
      <w:r w:rsidRPr="0012017F">
        <w:rPr>
          <w:rFonts w:ascii="Times New Roman" w:eastAsia="Times New Roman" w:hAnsi="Times New Roman" w:cs="Times New Roman"/>
          <w:sz w:val="24"/>
          <w:szCs w:val="24"/>
        </w:rPr>
        <w:br/>
        <w:t>4. Criteriul unic al fixării.</w:t>
      </w:r>
      <w:r w:rsidRPr="0012017F">
        <w:rPr>
          <w:rFonts w:ascii="Times New Roman" w:eastAsia="Times New Roman" w:hAnsi="Times New Roman" w:cs="Times New Roman"/>
          <w:sz w:val="24"/>
          <w:szCs w:val="24"/>
        </w:rPr>
        <w:br/>
        <w:t>(1) Prezenta convenţie nu ar putea fi interpretată, în nici un mod, ca limitând sau aducând atingere protecţiei acordate autorilor, artiştilor interpreţi sau executanţi, producătorilor de fonograme sau organismelor de radiodifuziune, în baza legilor naţionale sau a convenţiilor internaţionale.</w:t>
      </w:r>
      <w:r w:rsidRPr="0012017F">
        <w:rPr>
          <w:rFonts w:ascii="Times New Roman" w:eastAsia="Times New Roman" w:hAnsi="Times New Roman" w:cs="Times New Roman"/>
          <w:sz w:val="24"/>
          <w:szCs w:val="24"/>
        </w:rPr>
        <w:br/>
        <w:t>(2) Legislaţia naţională a fiecărui stat contractant va determina, după caz, întinderea protecţiei acordate artiştilor interpreţi sau executanţi a căror execuţie este fixată pe o fonogramă, ca şi condiţiile în care ei se vor bucura de o asemenea protecţie.</w:t>
      </w:r>
      <w:r w:rsidRPr="0012017F">
        <w:rPr>
          <w:rFonts w:ascii="Times New Roman" w:eastAsia="Times New Roman" w:hAnsi="Times New Roman" w:cs="Times New Roman"/>
          <w:sz w:val="24"/>
          <w:szCs w:val="24"/>
        </w:rPr>
        <w:br/>
        <w:t>(3) Nici un stat contractant nu este obligat să aplice dispoziţiile prezentei convenţii, în ceea ce priveşte fonogramele fixate înainte ca aceasta să intre în vigoare, în ceea ce priveşte statul respectiv.</w:t>
      </w:r>
      <w:r w:rsidRPr="0012017F">
        <w:rPr>
          <w:rFonts w:ascii="Times New Roman" w:eastAsia="Times New Roman" w:hAnsi="Times New Roman" w:cs="Times New Roman"/>
          <w:sz w:val="24"/>
          <w:szCs w:val="24"/>
        </w:rPr>
        <w:br/>
        <w:t>(4) Orice stat a cărui legislaţie naţională, în vigoare la data de 29 octombrie 1971, asigură producătorilor de fonograme o protecţie stabilită numai în funcţie de locul primei fixări poate, printr-o notificare depusă pe lângă directorul general al Organizaţiei Mondiale a Proprietăţii Intelectuale, să declare că va aplica acest criteriu în locul celui al naţionalităţii producătorului.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8</w:t>
      </w:r>
      <w:r w:rsidRPr="0012017F">
        <w:rPr>
          <w:rFonts w:ascii="Times New Roman" w:eastAsia="Times New Roman" w:hAnsi="Times New Roman" w:cs="Times New Roman"/>
          <w:sz w:val="24"/>
          <w:szCs w:val="24"/>
        </w:rPr>
        <w:br/>
        <w:t>Administrarea convenţiei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(1) Biroul internaţional al Organizaţiei Mondiale a Proprietăţii Intelectuale culege şi publică informaţiile privind protecţia fonogramelor. Fiecare stat contractant comunică Biroului internaţional, imediat ce este posibil, textul oricărei legi noi, ca şi toate textele oficiale privind această problemă.</w:t>
      </w:r>
      <w:r w:rsidRPr="0012017F">
        <w:rPr>
          <w:rFonts w:ascii="Times New Roman" w:eastAsia="Times New Roman" w:hAnsi="Times New Roman" w:cs="Times New Roman"/>
          <w:sz w:val="24"/>
          <w:szCs w:val="24"/>
        </w:rPr>
        <w:br/>
        <w:t>(2) Biroul internaţional furnizează oricărui stat contractant, la cererea acestuia, informaţii despre problemele privind prezenta convenţie; de asemenea, procedează la studii şi furnizează servicii destinate să faciliteze protecţia prevăzută de convenţie.</w:t>
      </w:r>
      <w:r w:rsidRPr="0012017F">
        <w:rPr>
          <w:rFonts w:ascii="Times New Roman" w:eastAsia="Times New Roman" w:hAnsi="Times New Roman" w:cs="Times New Roman"/>
          <w:sz w:val="24"/>
          <w:szCs w:val="24"/>
        </w:rPr>
        <w:br/>
        <w:t>(3) Biroul internaţional exercită funcţiile enumerate la alin. (1) şi(2) de mai sus în colaborare, în ceea ce priveşte problemele care ţin de respectivele lor competenţe, cu Organizaţia Naţiunilor Unite pentru Educaţie, Ştiinţă şi Cultură şi cu Organizaţia Internaţională a Muncii.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9</w:t>
      </w:r>
      <w:r w:rsidRPr="0012017F">
        <w:rPr>
          <w:rFonts w:ascii="Times New Roman" w:eastAsia="Times New Roman" w:hAnsi="Times New Roman" w:cs="Times New Roman"/>
          <w:sz w:val="24"/>
          <w:szCs w:val="24"/>
        </w:rPr>
        <w:br/>
        <w:t>Modalităţi de acceptare a convenţiei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1. Semnarea şi depunerea convenţiei.</w:t>
      </w:r>
      <w:r w:rsidRPr="0012017F">
        <w:rPr>
          <w:rFonts w:ascii="Times New Roman" w:eastAsia="Times New Roman" w:hAnsi="Times New Roman" w:cs="Times New Roman"/>
          <w:sz w:val="24"/>
          <w:szCs w:val="24"/>
        </w:rPr>
        <w:br/>
        <w:t>2. şi 3. Accesul la convenţie.</w:t>
      </w:r>
      <w:r w:rsidRPr="0012017F">
        <w:rPr>
          <w:rFonts w:ascii="Times New Roman" w:eastAsia="Times New Roman" w:hAnsi="Times New Roman" w:cs="Times New Roman"/>
          <w:sz w:val="24"/>
          <w:szCs w:val="24"/>
        </w:rPr>
        <w:br/>
        <w:t>4. Conformitatea legii naţionale cu convenţia.</w:t>
      </w:r>
      <w:r w:rsidRPr="0012017F">
        <w:rPr>
          <w:rFonts w:ascii="Times New Roman" w:eastAsia="Times New Roman" w:hAnsi="Times New Roman" w:cs="Times New Roman"/>
          <w:sz w:val="24"/>
          <w:szCs w:val="24"/>
        </w:rPr>
        <w:br/>
        <w:t>(1) Prezenta convenţie este depusă la Secretariatul General al Organizaţiei Naţiunilor Unite. Ea rămâne deschisă spre semnare, până la data de 30 aprilie 1972, oricărui stat membru al Organizaţiei Naţiunilor Unite, al uneia dintre instituţiile specializate ale Organizaţiei Naţiunilor Unite sau ale Agenţiei internaţionale pentru Energia Atomică ori parte la Statutul Curţii internaţionale de Justiţie.</w:t>
      </w:r>
      <w:r w:rsidRPr="0012017F">
        <w:rPr>
          <w:rFonts w:ascii="Times New Roman" w:eastAsia="Times New Roman" w:hAnsi="Times New Roman" w:cs="Times New Roman"/>
          <w:sz w:val="24"/>
          <w:szCs w:val="24"/>
        </w:rPr>
        <w:br/>
        <w:t>(2) Prezenta convenţie este supusă ratificării sau acceptării statelor semnatare. Ea este deschisă aderării oricărui stat vizat la alin. (1) al prezentului articol.</w:t>
      </w:r>
      <w:r w:rsidRPr="0012017F">
        <w:rPr>
          <w:rFonts w:ascii="Times New Roman" w:eastAsia="Times New Roman" w:hAnsi="Times New Roman" w:cs="Times New Roman"/>
          <w:sz w:val="24"/>
          <w:szCs w:val="24"/>
        </w:rPr>
        <w:br/>
      </w:r>
      <w:r w:rsidRPr="0012017F">
        <w:rPr>
          <w:rFonts w:ascii="Times New Roman" w:eastAsia="Times New Roman" w:hAnsi="Times New Roman" w:cs="Times New Roman"/>
          <w:sz w:val="24"/>
          <w:szCs w:val="24"/>
        </w:rPr>
        <w:lastRenderedPageBreak/>
        <w:t>(3) Instrumentele de ratificare, de acceptare sau de aderare se depun la secretarul general al Organizaţiei Naţiunilor Unite.</w:t>
      </w:r>
      <w:r w:rsidRPr="0012017F">
        <w:rPr>
          <w:rFonts w:ascii="Times New Roman" w:eastAsia="Times New Roman" w:hAnsi="Times New Roman" w:cs="Times New Roman"/>
          <w:sz w:val="24"/>
          <w:szCs w:val="24"/>
        </w:rPr>
        <w:br/>
        <w:t>(4) Se înţelege că, în momentul în care un stat devine parte la prezenta convenţie, el trebuie să fie în măsură, conform legislaţiei sale interne, de a aplica dispoziţiile convenţiei.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10</w:t>
      </w:r>
      <w:r w:rsidRPr="0012017F">
        <w:rPr>
          <w:rFonts w:ascii="Times New Roman" w:eastAsia="Times New Roman" w:hAnsi="Times New Roman" w:cs="Times New Roman"/>
          <w:sz w:val="24"/>
          <w:szCs w:val="24"/>
        </w:rPr>
        <w:br/>
        <w:t>Rezerve</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Nici o rezervă nu este admisă la prezenta convenţie.</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11</w:t>
      </w:r>
      <w:r w:rsidRPr="0012017F">
        <w:rPr>
          <w:rFonts w:ascii="Times New Roman" w:eastAsia="Times New Roman" w:hAnsi="Times New Roman" w:cs="Times New Roman"/>
          <w:sz w:val="24"/>
          <w:szCs w:val="24"/>
        </w:rPr>
        <w:br/>
        <w:t>Intrarea în vigoare şi aplicabilitatea convenţiei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1 şi 2. Intrarea în vigoare a convenţiei.</w:t>
      </w:r>
      <w:r w:rsidRPr="0012017F">
        <w:rPr>
          <w:rFonts w:ascii="Times New Roman" w:eastAsia="Times New Roman" w:hAnsi="Times New Roman" w:cs="Times New Roman"/>
          <w:sz w:val="24"/>
          <w:szCs w:val="24"/>
        </w:rPr>
        <w:br/>
        <w:t>3 şi 4. Aplicabilitatea convenţiei unor anumite teritorii.</w:t>
      </w:r>
      <w:r w:rsidRPr="0012017F">
        <w:rPr>
          <w:rFonts w:ascii="Times New Roman" w:eastAsia="Times New Roman" w:hAnsi="Times New Roman" w:cs="Times New Roman"/>
          <w:sz w:val="24"/>
          <w:szCs w:val="24"/>
        </w:rPr>
        <w:br/>
        <w:t>(1) Prezenta convenţie intră în vigoare la 3 luni de la depunerea celui de-al cincilea instrument de ratificare, de acceptare sau de aderare.</w:t>
      </w:r>
      <w:r w:rsidRPr="0012017F">
        <w:rPr>
          <w:rFonts w:ascii="Times New Roman" w:eastAsia="Times New Roman" w:hAnsi="Times New Roman" w:cs="Times New Roman"/>
          <w:sz w:val="24"/>
          <w:szCs w:val="24"/>
        </w:rPr>
        <w:br/>
        <w:t>(2) În ceea ce priveşte statul care ratifică sau acceptă prezenta convenţie ori care aderă la ea după depunerea celui de-al cincilea instrument de ratificare, de acceptare sau de aderare, prezenta convenţie intră în vigoare la 3 luni de la data la care directorul general al Organizaţiei Mondiale a Proprietăţii Intelectuale informează statele, conform art. 13 alin. (4), despre depunerea instrumentului său.</w:t>
      </w:r>
      <w:r w:rsidRPr="0012017F">
        <w:rPr>
          <w:rFonts w:ascii="Times New Roman" w:eastAsia="Times New Roman" w:hAnsi="Times New Roman" w:cs="Times New Roman"/>
          <w:sz w:val="24"/>
          <w:szCs w:val="24"/>
        </w:rPr>
        <w:br/>
        <w:t>(3) Oricare stat poate, în momentul ratificării, al acceptării ori al aderării, sau în orice moment ulterior, să declare, prin notificare scrisă adresată secretarului general al Organizaţiei Naţiunilor Unite, că prezenta convenţie este aplicabilă ansamblului sau unuia dintre teritoriile cărora le asigură relaţiile internaţionale. Această notificare devine aplicabilă la 3 luni de la data primirii ei.</w:t>
      </w:r>
      <w:r w:rsidRPr="0012017F">
        <w:rPr>
          <w:rFonts w:ascii="Times New Roman" w:eastAsia="Times New Roman" w:hAnsi="Times New Roman" w:cs="Times New Roman"/>
          <w:sz w:val="24"/>
          <w:szCs w:val="24"/>
        </w:rPr>
        <w:br/>
        <w:t>(4) Totuşi alineatul precedent nu poate fi interpretat în nici un caz ca implicând recunoaşterea sau acceptarea tacită, de către oricare dintre statele contractante, a situaţiei de fapt din orice teritoriu căruia prezenta convenţie îi este aplicabilă, datorită unui alt stat contractant în baza alineatului sus-numit.</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12</w:t>
      </w:r>
      <w:r w:rsidRPr="0012017F">
        <w:rPr>
          <w:rFonts w:ascii="Times New Roman" w:eastAsia="Times New Roman" w:hAnsi="Times New Roman" w:cs="Times New Roman"/>
          <w:sz w:val="24"/>
          <w:szCs w:val="24"/>
        </w:rPr>
        <w:br/>
        <w:t>Denunţarea convenţiei</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(1) Orice stat contractant are dreptul de a denunţa prezenta convenţie fie în nume propriu, fie în numele unuia sau al ansamblului teritoriilor la art. 11 alin. (3), printr-o notificare scrisă, adresată secretarului general al Organizaţiei Naţiunilor Unite.</w:t>
      </w:r>
      <w:r w:rsidRPr="0012017F">
        <w:rPr>
          <w:rFonts w:ascii="Times New Roman" w:eastAsia="Times New Roman" w:hAnsi="Times New Roman" w:cs="Times New Roman"/>
          <w:sz w:val="24"/>
          <w:szCs w:val="24"/>
        </w:rPr>
        <w:br/>
        <w:t>(2) Denunţarea devine aplicabilă la 12 luni de la data la care secretarul general al Organizaţiei Naţiunilor Unite a primit notificarea.</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ARTICOLUL 13</w:t>
      </w:r>
      <w:r w:rsidRPr="0012017F">
        <w:rPr>
          <w:rFonts w:ascii="Times New Roman" w:eastAsia="Times New Roman" w:hAnsi="Times New Roman" w:cs="Times New Roman"/>
          <w:sz w:val="24"/>
          <w:szCs w:val="24"/>
        </w:rPr>
        <w:br/>
        <w:t>Limbile convenţiei şi ale notificărilor</w:t>
      </w:r>
    </w:p>
    <w:p w:rsidR="0012017F" w:rsidRPr="0012017F" w:rsidRDefault="0012017F" w:rsidP="0012017F">
      <w:pPr>
        <w:spacing w:before="100" w:beforeAutospacing="1" w:after="100" w:afterAutospacing="1"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t>(1) Prezenta convenţie este semnată într-un singur exemplar, în limbile engleză, spaniolă, franceză şi rusă, cele patru texte având valabilitate egală.</w:t>
      </w:r>
      <w:r w:rsidRPr="0012017F">
        <w:rPr>
          <w:rFonts w:ascii="Times New Roman" w:eastAsia="Times New Roman" w:hAnsi="Times New Roman" w:cs="Times New Roman"/>
          <w:sz w:val="24"/>
          <w:szCs w:val="24"/>
        </w:rPr>
        <w:br/>
        <w:t xml:space="preserve">(2) Textele oficiale sunt stabilite de către directorul general al Organizaţiei Mondiale a </w:t>
      </w:r>
      <w:r w:rsidRPr="0012017F">
        <w:rPr>
          <w:rFonts w:ascii="Times New Roman" w:eastAsia="Times New Roman" w:hAnsi="Times New Roman" w:cs="Times New Roman"/>
          <w:sz w:val="24"/>
          <w:szCs w:val="24"/>
        </w:rPr>
        <w:lastRenderedPageBreak/>
        <w:t>Proprietăţii Intelectuale, după consultarea guvernelor interesate, în limbile germană, arabă, italiană, olandeză şi portugheză.</w:t>
      </w:r>
      <w:r w:rsidRPr="0012017F">
        <w:rPr>
          <w:rFonts w:ascii="Times New Roman" w:eastAsia="Times New Roman" w:hAnsi="Times New Roman" w:cs="Times New Roman"/>
          <w:sz w:val="24"/>
          <w:szCs w:val="24"/>
        </w:rPr>
        <w:br/>
        <w:t>(3) Secretarul general al Organizaţiei Naţiunilor Unite notifică directorului general al Organizaţiei Mondiale a Proprietăţii Intelectuale, directorului general al UNESCO şi directorului general al Biroului Internaţional al Muncii:</w:t>
      </w:r>
      <w:r w:rsidRPr="0012017F">
        <w:rPr>
          <w:rFonts w:ascii="Times New Roman" w:eastAsia="Times New Roman" w:hAnsi="Times New Roman" w:cs="Times New Roman"/>
          <w:sz w:val="24"/>
          <w:szCs w:val="24"/>
        </w:rPr>
        <w:br/>
        <w:t>a) semnăturile prezentei convenţii;</w:t>
      </w:r>
      <w:r w:rsidRPr="0012017F">
        <w:rPr>
          <w:rFonts w:ascii="Times New Roman" w:eastAsia="Times New Roman" w:hAnsi="Times New Roman" w:cs="Times New Roman"/>
          <w:sz w:val="24"/>
          <w:szCs w:val="24"/>
        </w:rPr>
        <w:br/>
        <w:t>b) depunerea instrumentelor de ratificare, de acceptare sau de aderare;</w:t>
      </w:r>
      <w:r w:rsidRPr="0012017F">
        <w:rPr>
          <w:rFonts w:ascii="Times New Roman" w:eastAsia="Times New Roman" w:hAnsi="Times New Roman" w:cs="Times New Roman"/>
          <w:sz w:val="24"/>
          <w:szCs w:val="24"/>
        </w:rPr>
        <w:br/>
        <w:t>c) data intrării în vigoare a prezentei convenţii;</w:t>
      </w:r>
      <w:r w:rsidRPr="0012017F">
        <w:rPr>
          <w:rFonts w:ascii="Times New Roman" w:eastAsia="Times New Roman" w:hAnsi="Times New Roman" w:cs="Times New Roman"/>
          <w:sz w:val="24"/>
          <w:szCs w:val="24"/>
        </w:rPr>
        <w:br/>
        <w:t>d) orice declaraţie notificată în baza art. 11 alin. (3);</w:t>
      </w:r>
      <w:r w:rsidRPr="0012017F">
        <w:rPr>
          <w:rFonts w:ascii="Times New Roman" w:eastAsia="Times New Roman" w:hAnsi="Times New Roman" w:cs="Times New Roman"/>
          <w:sz w:val="24"/>
          <w:szCs w:val="24"/>
        </w:rPr>
        <w:br/>
        <w:t>e) primirea notificărilor de denunţare.</w:t>
      </w:r>
      <w:r w:rsidRPr="0012017F">
        <w:rPr>
          <w:rFonts w:ascii="Times New Roman" w:eastAsia="Times New Roman" w:hAnsi="Times New Roman" w:cs="Times New Roman"/>
          <w:sz w:val="24"/>
          <w:szCs w:val="24"/>
        </w:rPr>
        <w:br/>
        <w:t>(4) Directorul general al Organizaţiei Mondiale a Proprietăţii Intelectuale informează statele vizate la art. 9 alin. (1) asupra notificărilor primite privind aplicarea alineatului precedent, cât şi asupra declaraţiilor făcute în baza art. 7 alin. (4). El notifică, de asemenea, respectivele declaraţii directorului general al Organizaţiei Naţiunilor Unite pentru Educaţie, Ştiinţă şi Cultură şi directorului general al Biroului Internaţional al Muncii.</w:t>
      </w:r>
      <w:r w:rsidRPr="0012017F">
        <w:rPr>
          <w:rFonts w:ascii="Times New Roman" w:eastAsia="Times New Roman" w:hAnsi="Times New Roman" w:cs="Times New Roman"/>
          <w:sz w:val="24"/>
          <w:szCs w:val="24"/>
        </w:rPr>
        <w:br/>
        <w:t>(5) Secretarul general al Organizaţiei Naţiunilor Unite transmite două exemplare, certificate, conforme prezentei convenţii, statelor vizate la art. 9 alin. (1).</w:t>
      </w:r>
    </w:p>
    <w:p w:rsidR="0012017F" w:rsidRPr="0012017F" w:rsidRDefault="0012017F" w:rsidP="0012017F">
      <w:pPr>
        <w:spacing w:before="100" w:beforeAutospacing="1" w:after="100" w:afterAutospacing="1" w:line="240" w:lineRule="auto"/>
        <w:outlineLvl w:val="3"/>
        <w:rPr>
          <w:rFonts w:ascii="Times New Roman" w:eastAsia="Times New Roman" w:hAnsi="Times New Roman" w:cs="Times New Roman"/>
          <w:b/>
          <w:bCs/>
          <w:sz w:val="24"/>
          <w:szCs w:val="24"/>
        </w:rPr>
      </w:pPr>
      <w:r w:rsidRPr="0012017F">
        <w:rPr>
          <w:rFonts w:ascii="Times New Roman" w:eastAsia="Times New Roman" w:hAnsi="Times New Roman" w:cs="Times New Roman"/>
          <w:b/>
          <w:bCs/>
          <w:sz w:val="24"/>
          <w:szCs w:val="24"/>
        </w:rPr>
        <w:t>Legislație</w:t>
      </w:r>
    </w:p>
    <w:p w:rsidR="0012017F" w:rsidRPr="0012017F" w:rsidRDefault="0012017F" w:rsidP="0012017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Pr="0012017F">
          <w:rPr>
            <w:rFonts w:ascii="Times New Roman" w:eastAsia="Times New Roman" w:hAnsi="Times New Roman" w:cs="Times New Roman"/>
            <w:color w:val="0000FF"/>
            <w:sz w:val="24"/>
            <w:szCs w:val="24"/>
            <w:u w:val="single"/>
          </w:rPr>
          <w:t>Legislatie nationala</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Pr="0012017F">
          <w:rPr>
            <w:rFonts w:ascii="Times New Roman" w:eastAsia="Times New Roman" w:hAnsi="Times New Roman" w:cs="Times New Roman"/>
            <w:color w:val="0000FF"/>
            <w:sz w:val="24"/>
            <w:szCs w:val="24"/>
            <w:u w:val="single"/>
          </w:rPr>
          <w:t>Legislatie europeana</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8" w:history="1">
        <w:r w:rsidRPr="0012017F">
          <w:rPr>
            <w:rFonts w:ascii="Times New Roman" w:eastAsia="Times New Roman" w:hAnsi="Times New Roman" w:cs="Times New Roman"/>
            <w:color w:val="0000FF"/>
            <w:sz w:val="24"/>
            <w:szCs w:val="24"/>
            <w:u w:val="single"/>
          </w:rPr>
          <w:t>Directiva 91/250/CEE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9" w:history="1">
        <w:r w:rsidRPr="0012017F">
          <w:rPr>
            <w:rFonts w:ascii="Times New Roman" w:eastAsia="Times New Roman" w:hAnsi="Times New Roman" w:cs="Times New Roman"/>
            <w:color w:val="0000FF"/>
            <w:sz w:val="24"/>
            <w:szCs w:val="24"/>
            <w:u w:val="single"/>
          </w:rPr>
          <w:t>Directiva 93/83/CEE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Pr="0012017F">
          <w:rPr>
            <w:rFonts w:ascii="Times New Roman" w:eastAsia="Times New Roman" w:hAnsi="Times New Roman" w:cs="Times New Roman"/>
            <w:color w:val="0000FF"/>
            <w:sz w:val="24"/>
            <w:szCs w:val="24"/>
            <w:u w:val="single"/>
          </w:rPr>
          <w:t>Directiva 93/98/CEE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Pr="0012017F">
          <w:rPr>
            <w:rFonts w:ascii="Times New Roman" w:eastAsia="Times New Roman" w:hAnsi="Times New Roman" w:cs="Times New Roman"/>
            <w:color w:val="0000FF"/>
            <w:sz w:val="24"/>
            <w:szCs w:val="24"/>
            <w:u w:val="single"/>
          </w:rPr>
          <w:t>Directiva 92/100/CEE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12017F">
          <w:rPr>
            <w:rFonts w:ascii="Times New Roman" w:eastAsia="Times New Roman" w:hAnsi="Times New Roman" w:cs="Times New Roman"/>
            <w:color w:val="0000FF"/>
            <w:sz w:val="24"/>
            <w:szCs w:val="24"/>
            <w:u w:val="single"/>
          </w:rPr>
          <w:t>Directiva 96/9/CE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12017F">
          <w:rPr>
            <w:rFonts w:ascii="Times New Roman" w:eastAsia="Times New Roman" w:hAnsi="Times New Roman" w:cs="Times New Roman"/>
            <w:color w:val="0000FF"/>
            <w:sz w:val="24"/>
            <w:szCs w:val="24"/>
            <w:u w:val="single"/>
          </w:rPr>
          <w:t>Directiva 2001/29/CE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12017F">
          <w:rPr>
            <w:rFonts w:ascii="Times New Roman" w:eastAsia="Times New Roman" w:hAnsi="Times New Roman" w:cs="Times New Roman"/>
            <w:color w:val="0000FF"/>
            <w:sz w:val="24"/>
            <w:szCs w:val="24"/>
            <w:u w:val="single"/>
          </w:rPr>
          <w:t>Directiva 2001/84/CE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12017F">
          <w:rPr>
            <w:rFonts w:ascii="Times New Roman" w:eastAsia="Times New Roman" w:hAnsi="Times New Roman" w:cs="Times New Roman"/>
            <w:color w:val="0000FF"/>
            <w:sz w:val="24"/>
            <w:szCs w:val="24"/>
            <w:u w:val="single"/>
          </w:rPr>
          <w:t>Directiva 2004/48/CE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6" w:history="1">
        <w:r w:rsidRPr="0012017F">
          <w:rPr>
            <w:rFonts w:ascii="Times New Roman" w:eastAsia="Times New Roman" w:hAnsi="Times New Roman" w:cs="Times New Roman"/>
            <w:color w:val="0000FF"/>
            <w:sz w:val="24"/>
            <w:szCs w:val="24"/>
            <w:u w:val="single"/>
          </w:rPr>
          <w:t>Directiva 2000/31/CE</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7" w:history="1">
        <w:r w:rsidRPr="0012017F">
          <w:rPr>
            <w:rFonts w:ascii="Times New Roman" w:eastAsia="Times New Roman" w:hAnsi="Times New Roman" w:cs="Times New Roman"/>
            <w:color w:val="0000FF"/>
            <w:sz w:val="24"/>
            <w:szCs w:val="24"/>
            <w:u w:val="single"/>
          </w:rPr>
          <w:t>Conventia de la Berna</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8" w:history="1">
        <w:r w:rsidRPr="0012017F">
          <w:rPr>
            <w:rFonts w:ascii="Times New Roman" w:eastAsia="Times New Roman" w:hAnsi="Times New Roman" w:cs="Times New Roman"/>
            <w:color w:val="0000FF"/>
            <w:sz w:val="24"/>
            <w:szCs w:val="24"/>
            <w:u w:val="single"/>
          </w:rPr>
          <w:t>Conventia de la Geneva</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Pr="0012017F">
          <w:rPr>
            <w:rFonts w:ascii="Times New Roman" w:eastAsia="Times New Roman" w:hAnsi="Times New Roman" w:cs="Times New Roman"/>
            <w:color w:val="0000FF"/>
            <w:sz w:val="24"/>
            <w:szCs w:val="24"/>
            <w:u w:val="single"/>
          </w:rPr>
          <w:t>Conventia internationala de la Roma</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20" w:history="1">
        <w:r w:rsidRPr="0012017F">
          <w:rPr>
            <w:rFonts w:ascii="Times New Roman" w:eastAsia="Times New Roman" w:hAnsi="Times New Roman" w:cs="Times New Roman"/>
            <w:color w:val="0000FF"/>
            <w:sz w:val="24"/>
            <w:szCs w:val="24"/>
            <w:u w:val="single"/>
          </w:rPr>
          <w:t>Tratat O.M.P.I. privind dreptul de autor*)</w:t>
        </w:r>
      </w:hyperlink>
      <w:r w:rsidRPr="0012017F">
        <w:rPr>
          <w:rFonts w:ascii="Times New Roman" w:eastAsia="Times New Roman" w:hAnsi="Times New Roman" w:cs="Times New Roman"/>
          <w:sz w:val="24"/>
          <w:szCs w:val="24"/>
        </w:rPr>
        <w:t xml:space="preserve"> </w:t>
      </w:r>
    </w:p>
    <w:p w:rsidR="0012017F" w:rsidRPr="0012017F" w:rsidRDefault="0012017F" w:rsidP="0012017F">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21" w:history="1">
        <w:r w:rsidRPr="0012017F">
          <w:rPr>
            <w:rFonts w:ascii="Times New Roman" w:eastAsia="Times New Roman" w:hAnsi="Times New Roman" w:cs="Times New Roman"/>
            <w:color w:val="0000FF"/>
            <w:sz w:val="24"/>
            <w:szCs w:val="24"/>
            <w:u w:val="single"/>
          </w:rPr>
          <w:t>Tratat O.M.P.I. privind interpretarile, executiile si fonogramele*)</w:t>
        </w:r>
      </w:hyperlink>
      <w:r w:rsidRPr="0012017F">
        <w:rPr>
          <w:rFonts w:ascii="Times New Roman" w:eastAsia="Times New Roman" w:hAnsi="Times New Roman" w:cs="Times New Roman"/>
          <w:sz w:val="24"/>
          <w:szCs w:val="24"/>
        </w:rPr>
        <w:t xml:space="preserve"> </w:t>
      </w:r>
    </w:p>
    <w:p w:rsidR="0012017F" w:rsidRPr="0012017F" w:rsidRDefault="0012017F" w:rsidP="0012017F">
      <w:pPr>
        <w:spacing w:before="100" w:beforeAutospacing="1" w:after="100" w:afterAutospacing="1" w:line="240" w:lineRule="auto"/>
        <w:outlineLvl w:val="3"/>
        <w:rPr>
          <w:rFonts w:ascii="Times New Roman" w:eastAsia="Times New Roman" w:hAnsi="Times New Roman" w:cs="Times New Roman"/>
          <w:b/>
          <w:bCs/>
          <w:sz w:val="24"/>
          <w:szCs w:val="24"/>
        </w:rPr>
      </w:pPr>
      <w:r w:rsidRPr="0012017F">
        <w:rPr>
          <w:rFonts w:ascii="Times New Roman" w:eastAsia="Times New Roman" w:hAnsi="Times New Roman" w:cs="Times New Roman"/>
          <w:b/>
          <w:bCs/>
          <w:sz w:val="24"/>
          <w:szCs w:val="24"/>
        </w:rPr>
        <w:t>Social Media</w:t>
      </w:r>
    </w:p>
    <w:p w:rsidR="0012017F" w:rsidRPr="0012017F" w:rsidRDefault="0012017F" w:rsidP="0012017F">
      <w:pPr>
        <w:spacing w:before="100" w:beforeAutospacing="1" w:after="100" w:afterAutospacing="1" w:line="240" w:lineRule="auto"/>
        <w:outlineLvl w:val="3"/>
        <w:rPr>
          <w:rFonts w:ascii="Times New Roman" w:eastAsia="Times New Roman" w:hAnsi="Times New Roman" w:cs="Times New Roman"/>
          <w:b/>
          <w:bCs/>
          <w:sz w:val="24"/>
          <w:szCs w:val="24"/>
        </w:rPr>
      </w:pPr>
      <w:r w:rsidRPr="0012017F">
        <w:rPr>
          <w:rFonts w:ascii="Times New Roman" w:eastAsia="Times New Roman" w:hAnsi="Times New Roman" w:cs="Times New Roman"/>
          <w:b/>
          <w:bCs/>
          <w:sz w:val="24"/>
          <w:szCs w:val="24"/>
        </w:rPr>
        <w:t>Ultima Lansare</w:t>
      </w:r>
    </w:p>
    <w:p w:rsidR="0012017F" w:rsidRPr="0012017F" w:rsidRDefault="0012017F" w:rsidP="0012017F">
      <w:pPr>
        <w:spacing w:before="100" w:beforeAutospacing="1" w:after="100" w:afterAutospacing="1" w:line="240" w:lineRule="auto"/>
        <w:outlineLvl w:val="3"/>
        <w:rPr>
          <w:rFonts w:ascii="Times New Roman" w:eastAsia="Times New Roman" w:hAnsi="Times New Roman" w:cs="Times New Roman"/>
          <w:b/>
          <w:bCs/>
          <w:sz w:val="24"/>
          <w:szCs w:val="24"/>
        </w:rPr>
      </w:pPr>
      <w:r w:rsidRPr="0012017F">
        <w:rPr>
          <w:rFonts w:ascii="Times New Roman" w:eastAsia="Times New Roman" w:hAnsi="Times New Roman" w:cs="Times New Roman"/>
          <w:b/>
          <w:bCs/>
          <w:sz w:val="24"/>
          <w:szCs w:val="24"/>
        </w:rPr>
        <w:t>A history of recorded music in 90 seconds.</w:t>
      </w:r>
    </w:p>
    <w:p w:rsidR="0012017F" w:rsidRPr="0012017F" w:rsidRDefault="0012017F" w:rsidP="0012017F">
      <w:pPr>
        <w:spacing w:before="100" w:beforeAutospacing="1" w:after="100" w:afterAutospacing="1" w:line="240" w:lineRule="auto"/>
        <w:outlineLvl w:val="3"/>
        <w:rPr>
          <w:rFonts w:ascii="Times New Roman" w:eastAsia="Times New Roman" w:hAnsi="Times New Roman" w:cs="Times New Roman"/>
          <w:b/>
          <w:bCs/>
          <w:sz w:val="24"/>
          <w:szCs w:val="24"/>
        </w:rPr>
      </w:pPr>
      <w:r w:rsidRPr="0012017F">
        <w:rPr>
          <w:rFonts w:ascii="Times New Roman" w:eastAsia="Times New Roman" w:hAnsi="Times New Roman" w:cs="Times New Roman"/>
          <w:b/>
          <w:bCs/>
          <w:sz w:val="24"/>
          <w:szCs w:val="24"/>
        </w:rPr>
        <w:t>Link-uri utile</w:t>
      </w:r>
    </w:p>
    <w:p w:rsidR="0012017F" w:rsidRPr="0012017F" w:rsidRDefault="0012017F" w:rsidP="0012017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2" w:tgtFrame="_self" w:history="1">
        <w:r w:rsidRPr="0012017F">
          <w:rPr>
            <w:rFonts w:ascii="Times New Roman" w:eastAsia="Times New Roman" w:hAnsi="Times New Roman" w:cs="Times New Roman"/>
            <w:color w:val="0000FF"/>
            <w:sz w:val="24"/>
            <w:szCs w:val="24"/>
            <w:u w:val="single"/>
          </w:rPr>
          <w:t>IFPI</w:t>
        </w:r>
      </w:hyperlink>
    </w:p>
    <w:p w:rsidR="0012017F" w:rsidRPr="0012017F" w:rsidRDefault="0012017F" w:rsidP="0012017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12017F">
          <w:rPr>
            <w:rFonts w:ascii="Times New Roman" w:eastAsia="Times New Roman" w:hAnsi="Times New Roman" w:cs="Times New Roman"/>
            <w:color w:val="0000FF"/>
            <w:sz w:val="24"/>
            <w:szCs w:val="24"/>
            <w:u w:val="single"/>
          </w:rPr>
          <w:t>Oficiul Român pentru Drepturile de Autor (ORDA)</w:t>
        </w:r>
      </w:hyperlink>
    </w:p>
    <w:p w:rsidR="0012017F" w:rsidRPr="0012017F" w:rsidRDefault="0012017F" w:rsidP="0012017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12017F">
          <w:rPr>
            <w:rFonts w:ascii="Times New Roman" w:eastAsia="Times New Roman" w:hAnsi="Times New Roman" w:cs="Times New Roman"/>
            <w:color w:val="0000FF"/>
            <w:sz w:val="24"/>
            <w:szCs w:val="24"/>
            <w:u w:val="single"/>
          </w:rPr>
          <w:t>Ministerul Administraţiei şi Internelor</w:t>
        </w:r>
      </w:hyperlink>
    </w:p>
    <w:p w:rsidR="0012017F" w:rsidRPr="0012017F" w:rsidRDefault="0012017F" w:rsidP="0012017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12017F">
          <w:rPr>
            <w:rFonts w:ascii="Times New Roman" w:eastAsia="Times New Roman" w:hAnsi="Times New Roman" w:cs="Times New Roman"/>
            <w:color w:val="0000FF"/>
            <w:sz w:val="24"/>
            <w:szCs w:val="24"/>
            <w:u w:val="single"/>
          </w:rPr>
          <w:t>Inspectoratul General al Poliţiei, Serviciul de Investigare a Fraudelor, Compartimentul Cercetări Penale</w:t>
        </w:r>
      </w:hyperlink>
    </w:p>
    <w:p w:rsidR="0012017F" w:rsidRPr="0012017F" w:rsidRDefault="0012017F" w:rsidP="0012017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12017F">
          <w:rPr>
            <w:rFonts w:ascii="Times New Roman" w:eastAsia="Times New Roman" w:hAnsi="Times New Roman" w:cs="Times New Roman"/>
            <w:color w:val="0000FF"/>
            <w:sz w:val="24"/>
            <w:szCs w:val="24"/>
            <w:u w:val="single"/>
          </w:rPr>
          <w:t>Uniunea Producatorilor de Fonograme din Romania</w:t>
        </w:r>
      </w:hyperlink>
    </w:p>
    <w:p w:rsidR="0012017F" w:rsidRPr="0012017F" w:rsidRDefault="0012017F" w:rsidP="0012017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12017F">
          <w:rPr>
            <w:rFonts w:ascii="Times New Roman" w:eastAsia="Times New Roman" w:hAnsi="Times New Roman" w:cs="Times New Roman"/>
            <w:color w:val="0000FF"/>
            <w:sz w:val="24"/>
            <w:szCs w:val="24"/>
            <w:u w:val="single"/>
          </w:rPr>
          <w:t>Pro-Music.org</w:t>
        </w:r>
      </w:hyperlink>
    </w:p>
    <w:p w:rsidR="0012017F" w:rsidRPr="0012017F" w:rsidRDefault="0012017F" w:rsidP="0012017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12017F">
          <w:rPr>
            <w:rFonts w:ascii="Times New Roman" w:eastAsia="Times New Roman" w:hAnsi="Times New Roman" w:cs="Times New Roman"/>
            <w:color w:val="0000FF"/>
            <w:sz w:val="24"/>
            <w:szCs w:val="24"/>
            <w:u w:val="single"/>
          </w:rPr>
          <w:t>International Intellectual Property Alliance</w:t>
        </w:r>
      </w:hyperlink>
    </w:p>
    <w:p w:rsidR="0012017F" w:rsidRPr="0012017F" w:rsidRDefault="0012017F" w:rsidP="0012017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12017F">
          <w:rPr>
            <w:rFonts w:ascii="Times New Roman" w:eastAsia="Times New Roman" w:hAnsi="Times New Roman" w:cs="Times New Roman"/>
            <w:color w:val="0000FF"/>
            <w:sz w:val="24"/>
            <w:szCs w:val="24"/>
            <w:u w:val="single"/>
          </w:rPr>
          <w:t>World Intellectual Property Organization</w:t>
        </w:r>
      </w:hyperlink>
    </w:p>
    <w:p w:rsidR="0012017F" w:rsidRPr="0012017F" w:rsidRDefault="0012017F" w:rsidP="0012017F">
      <w:pPr>
        <w:spacing w:after="0" w:line="240" w:lineRule="auto"/>
        <w:rPr>
          <w:rFonts w:ascii="Times New Roman" w:eastAsia="Times New Roman" w:hAnsi="Times New Roman" w:cs="Times New Roman"/>
          <w:sz w:val="24"/>
          <w:szCs w:val="24"/>
        </w:rPr>
      </w:pPr>
      <w:r w:rsidRPr="0012017F">
        <w:rPr>
          <w:rFonts w:ascii="Times New Roman" w:eastAsia="Times New Roman" w:hAnsi="Times New Roman" w:cs="Times New Roman"/>
          <w:sz w:val="24"/>
          <w:szCs w:val="24"/>
        </w:rPr>
        <w:pict>
          <v:rect id="_x0000_i1025" style="width:0;height:1.5pt" o:hralign="center" o:hrstd="t" o:hr="t" fillcolor="#a0a0a0" stroked="f"/>
        </w:pict>
      </w:r>
    </w:p>
    <w:p w:rsidR="00FA3C4F" w:rsidRPr="0012017F" w:rsidRDefault="00FA3C4F" w:rsidP="0012017F">
      <w:bookmarkStart w:id="0" w:name="_GoBack"/>
      <w:bookmarkEnd w:id="0"/>
    </w:p>
    <w:sectPr w:rsidR="00FA3C4F" w:rsidRPr="001201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9B8"/>
    <w:multiLevelType w:val="multilevel"/>
    <w:tmpl w:val="230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C56FD"/>
    <w:multiLevelType w:val="multilevel"/>
    <w:tmpl w:val="F8A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779E6"/>
    <w:multiLevelType w:val="multilevel"/>
    <w:tmpl w:val="6476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D3810"/>
    <w:multiLevelType w:val="multilevel"/>
    <w:tmpl w:val="E11A3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B8"/>
    <w:rsid w:val="0012017F"/>
    <w:rsid w:val="00420848"/>
    <w:rsid w:val="00D347F9"/>
    <w:rsid w:val="00ED0FB8"/>
    <w:rsid w:val="00FA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208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4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208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0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208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4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208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0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23421">
      <w:bodyDiv w:val="1"/>
      <w:marLeft w:val="0"/>
      <w:marRight w:val="0"/>
      <w:marTop w:val="0"/>
      <w:marBottom w:val="0"/>
      <w:divBdr>
        <w:top w:val="none" w:sz="0" w:space="0" w:color="auto"/>
        <w:left w:val="none" w:sz="0" w:space="0" w:color="auto"/>
        <w:bottom w:val="none" w:sz="0" w:space="0" w:color="auto"/>
        <w:right w:val="none" w:sz="0" w:space="0" w:color="auto"/>
      </w:divBdr>
      <w:divsChild>
        <w:div w:id="942881801">
          <w:marLeft w:val="0"/>
          <w:marRight w:val="0"/>
          <w:marTop w:val="0"/>
          <w:marBottom w:val="0"/>
          <w:divBdr>
            <w:top w:val="none" w:sz="0" w:space="0" w:color="auto"/>
            <w:left w:val="none" w:sz="0" w:space="0" w:color="auto"/>
            <w:bottom w:val="none" w:sz="0" w:space="0" w:color="auto"/>
            <w:right w:val="none" w:sz="0" w:space="0" w:color="auto"/>
          </w:divBdr>
        </w:div>
      </w:divsChild>
    </w:div>
    <w:div w:id="871041908">
      <w:bodyDiv w:val="1"/>
      <w:marLeft w:val="0"/>
      <w:marRight w:val="0"/>
      <w:marTop w:val="0"/>
      <w:marBottom w:val="0"/>
      <w:divBdr>
        <w:top w:val="none" w:sz="0" w:space="0" w:color="auto"/>
        <w:left w:val="none" w:sz="0" w:space="0" w:color="auto"/>
        <w:bottom w:val="none" w:sz="0" w:space="0" w:color="auto"/>
        <w:right w:val="none" w:sz="0" w:space="0" w:color="auto"/>
      </w:divBdr>
      <w:divsChild>
        <w:div w:id="1709604860">
          <w:marLeft w:val="0"/>
          <w:marRight w:val="0"/>
          <w:marTop w:val="0"/>
          <w:marBottom w:val="0"/>
          <w:divBdr>
            <w:top w:val="none" w:sz="0" w:space="0" w:color="auto"/>
            <w:left w:val="none" w:sz="0" w:space="0" w:color="auto"/>
            <w:bottom w:val="none" w:sz="0" w:space="0" w:color="auto"/>
            <w:right w:val="none" w:sz="0" w:space="0" w:color="auto"/>
          </w:divBdr>
          <w:divsChild>
            <w:div w:id="111750849">
              <w:marLeft w:val="0"/>
              <w:marRight w:val="0"/>
              <w:marTop w:val="0"/>
              <w:marBottom w:val="0"/>
              <w:divBdr>
                <w:top w:val="none" w:sz="0" w:space="0" w:color="auto"/>
                <w:left w:val="none" w:sz="0" w:space="0" w:color="auto"/>
                <w:bottom w:val="none" w:sz="0" w:space="0" w:color="auto"/>
                <w:right w:val="none" w:sz="0" w:space="0" w:color="auto"/>
              </w:divBdr>
            </w:div>
            <w:div w:id="274558556">
              <w:marLeft w:val="0"/>
              <w:marRight w:val="0"/>
              <w:marTop w:val="0"/>
              <w:marBottom w:val="0"/>
              <w:divBdr>
                <w:top w:val="none" w:sz="0" w:space="0" w:color="auto"/>
                <w:left w:val="none" w:sz="0" w:space="0" w:color="auto"/>
                <w:bottom w:val="none" w:sz="0" w:space="0" w:color="auto"/>
                <w:right w:val="none" w:sz="0" w:space="0" w:color="auto"/>
              </w:divBdr>
            </w:div>
          </w:divsChild>
        </w:div>
        <w:div w:id="660698076">
          <w:marLeft w:val="0"/>
          <w:marRight w:val="0"/>
          <w:marTop w:val="0"/>
          <w:marBottom w:val="0"/>
          <w:divBdr>
            <w:top w:val="none" w:sz="0" w:space="0" w:color="auto"/>
            <w:left w:val="none" w:sz="0" w:space="0" w:color="auto"/>
            <w:bottom w:val="none" w:sz="0" w:space="0" w:color="auto"/>
            <w:right w:val="none" w:sz="0" w:space="0" w:color="auto"/>
          </w:divBdr>
        </w:div>
        <w:div w:id="1841387511">
          <w:marLeft w:val="0"/>
          <w:marRight w:val="0"/>
          <w:marTop w:val="0"/>
          <w:marBottom w:val="0"/>
          <w:divBdr>
            <w:top w:val="none" w:sz="0" w:space="0" w:color="auto"/>
            <w:left w:val="none" w:sz="0" w:space="0" w:color="auto"/>
            <w:bottom w:val="none" w:sz="0" w:space="0" w:color="auto"/>
            <w:right w:val="none" w:sz="0" w:space="0" w:color="auto"/>
          </w:divBdr>
        </w:div>
        <w:div w:id="832339443">
          <w:marLeft w:val="0"/>
          <w:marRight w:val="0"/>
          <w:marTop w:val="0"/>
          <w:marBottom w:val="0"/>
          <w:divBdr>
            <w:top w:val="none" w:sz="0" w:space="0" w:color="auto"/>
            <w:left w:val="none" w:sz="0" w:space="0" w:color="auto"/>
            <w:bottom w:val="none" w:sz="0" w:space="0" w:color="auto"/>
            <w:right w:val="none" w:sz="0" w:space="0" w:color="auto"/>
          </w:divBdr>
        </w:div>
        <w:div w:id="400105225">
          <w:marLeft w:val="0"/>
          <w:marRight w:val="0"/>
          <w:marTop w:val="0"/>
          <w:marBottom w:val="0"/>
          <w:divBdr>
            <w:top w:val="none" w:sz="0" w:space="0" w:color="auto"/>
            <w:left w:val="none" w:sz="0" w:space="0" w:color="auto"/>
            <w:bottom w:val="none" w:sz="0" w:space="0" w:color="auto"/>
            <w:right w:val="none" w:sz="0" w:space="0" w:color="auto"/>
          </w:divBdr>
          <w:divsChild>
            <w:div w:id="16002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4975">
      <w:bodyDiv w:val="1"/>
      <w:marLeft w:val="0"/>
      <w:marRight w:val="0"/>
      <w:marTop w:val="0"/>
      <w:marBottom w:val="0"/>
      <w:divBdr>
        <w:top w:val="none" w:sz="0" w:space="0" w:color="auto"/>
        <w:left w:val="none" w:sz="0" w:space="0" w:color="auto"/>
        <w:bottom w:val="none" w:sz="0" w:space="0" w:color="auto"/>
        <w:right w:val="none" w:sz="0" w:space="0" w:color="auto"/>
      </w:divBdr>
      <w:divsChild>
        <w:div w:id="240679600">
          <w:marLeft w:val="0"/>
          <w:marRight w:val="0"/>
          <w:marTop w:val="0"/>
          <w:marBottom w:val="0"/>
          <w:divBdr>
            <w:top w:val="none" w:sz="0" w:space="0" w:color="auto"/>
            <w:left w:val="none" w:sz="0" w:space="0" w:color="auto"/>
            <w:bottom w:val="none" w:sz="0" w:space="0" w:color="auto"/>
            <w:right w:val="none" w:sz="0" w:space="0" w:color="auto"/>
          </w:divBdr>
          <w:divsChild>
            <w:div w:id="323974097">
              <w:marLeft w:val="0"/>
              <w:marRight w:val="0"/>
              <w:marTop w:val="0"/>
              <w:marBottom w:val="0"/>
              <w:divBdr>
                <w:top w:val="none" w:sz="0" w:space="0" w:color="auto"/>
                <w:left w:val="none" w:sz="0" w:space="0" w:color="auto"/>
                <w:bottom w:val="none" w:sz="0" w:space="0" w:color="auto"/>
                <w:right w:val="none" w:sz="0" w:space="0" w:color="auto"/>
              </w:divBdr>
            </w:div>
            <w:div w:id="920868120">
              <w:marLeft w:val="0"/>
              <w:marRight w:val="0"/>
              <w:marTop w:val="0"/>
              <w:marBottom w:val="0"/>
              <w:divBdr>
                <w:top w:val="none" w:sz="0" w:space="0" w:color="auto"/>
                <w:left w:val="none" w:sz="0" w:space="0" w:color="auto"/>
                <w:bottom w:val="none" w:sz="0" w:space="0" w:color="auto"/>
                <w:right w:val="none" w:sz="0" w:space="0" w:color="auto"/>
              </w:divBdr>
            </w:div>
          </w:divsChild>
        </w:div>
        <w:div w:id="1755128537">
          <w:marLeft w:val="0"/>
          <w:marRight w:val="0"/>
          <w:marTop w:val="0"/>
          <w:marBottom w:val="0"/>
          <w:divBdr>
            <w:top w:val="none" w:sz="0" w:space="0" w:color="auto"/>
            <w:left w:val="none" w:sz="0" w:space="0" w:color="auto"/>
            <w:bottom w:val="none" w:sz="0" w:space="0" w:color="auto"/>
            <w:right w:val="none" w:sz="0" w:space="0" w:color="auto"/>
          </w:divBdr>
        </w:div>
        <w:div w:id="1768424081">
          <w:marLeft w:val="0"/>
          <w:marRight w:val="0"/>
          <w:marTop w:val="0"/>
          <w:marBottom w:val="0"/>
          <w:divBdr>
            <w:top w:val="none" w:sz="0" w:space="0" w:color="auto"/>
            <w:left w:val="none" w:sz="0" w:space="0" w:color="auto"/>
            <w:bottom w:val="none" w:sz="0" w:space="0" w:color="auto"/>
            <w:right w:val="none" w:sz="0" w:space="0" w:color="auto"/>
          </w:divBdr>
        </w:div>
        <w:div w:id="85856511">
          <w:marLeft w:val="0"/>
          <w:marRight w:val="0"/>
          <w:marTop w:val="0"/>
          <w:marBottom w:val="0"/>
          <w:divBdr>
            <w:top w:val="none" w:sz="0" w:space="0" w:color="auto"/>
            <w:left w:val="none" w:sz="0" w:space="0" w:color="auto"/>
            <w:bottom w:val="none" w:sz="0" w:space="0" w:color="auto"/>
            <w:right w:val="none" w:sz="0" w:space="0" w:color="auto"/>
          </w:divBdr>
        </w:div>
        <w:div w:id="1833905250">
          <w:marLeft w:val="0"/>
          <w:marRight w:val="0"/>
          <w:marTop w:val="0"/>
          <w:marBottom w:val="0"/>
          <w:divBdr>
            <w:top w:val="none" w:sz="0" w:space="0" w:color="auto"/>
            <w:left w:val="none" w:sz="0" w:space="0" w:color="auto"/>
            <w:bottom w:val="none" w:sz="0" w:space="0" w:color="auto"/>
            <w:right w:val="none" w:sz="0" w:space="0" w:color="auto"/>
          </w:divBdr>
          <w:divsChild>
            <w:div w:id="105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r.ro/custompage/directiva-91250cee-privind-protectia-juridica-programelor-de-calculator/" TargetMode="External"/><Relationship Id="rId13" Type="http://schemas.openxmlformats.org/officeDocument/2006/relationships/hyperlink" Target="http://www.aimr.ro/custompage/directiva-200129ce/" TargetMode="External"/><Relationship Id="rId18" Type="http://schemas.openxmlformats.org/officeDocument/2006/relationships/hyperlink" Target="http://www.aimr.ro/custompage/conventia-de-la-geneva/" TargetMode="External"/><Relationship Id="rId26" Type="http://schemas.openxmlformats.org/officeDocument/2006/relationships/hyperlink" Target="http://www.upfr.ro" TargetMode="External"/><Relationship Id="rId3" Type="http://schemas.microsoft.com/office/2007/relationships/stylesWithEffects" Target="stylesWithEffects.xml"/><Relationship Id="rId21" Type="http://schemas.openxmlformats.org/officeDocument/2006/relationships/hyperlink" Target="http://www.aimr.ro/custompage/tratat-o-m-p-privind-interpretarile-executiile-si-fonogramele/" TargetMode="External"/><Relationship Id="rId7" Type="http://schemas.openxmlformats.org/officeDocument/2006/relationships/hyperlink" Target="http://www.aimr.ro/legislatie/norme-europene-in-materie/" TargetMode="External"/><Relationship Id="rId12" Type="http://schemas.openxmlformats.org/officeDocument/2006/relationships/hyperlink" Target="http://www.aimr.ro/custompage/directiva-969ce-privind-protectia-juridica-bazelor-de-date/" TargetMode="External"/><Relationship Id="rId17" Type="http://schemas.openxmlformats.org/officeDocument/2006/relationships/hyperlink" Target="http://www.aimr.ro/custompage/conventia-de-la-berna/" TargetMode="External"/><Relationship Id="rId25" Type="http://schemas.openxmlformats.org/officeDocument/2006/relationships/hyperlink" Target="http://www.politiaromana.ro" TargetMode="External"/><Relationship Id="rId2" Type="http://schemas.openxmlformats.org/officeDocument/2006/relationships/styles" Target="styles.xml"/><Relationship Id="rId16" Type="http://schemas.openxmlformats.org/officeDocument/2006/relationships/hyperlink" Target="http://www.aimr.ro/custompage/directiva-200031ce/" TargetMode="External"/><Relationship Id="rId20" Type="http://schemas.openxmlformats.org/officeDocument/2006/relationships/hyperlink" Target="http://www.aimr.ro/custompage/tratat-o-m-p-privind-dreptul-de-autor/" TargetMode="External"/><Relationship Id="rId29" Type="http://schemas.openxmlformats.org/officeDocument/2006/relationships/hyperlink" Target="http://www.wipo.int" TargetMode="External"/><Relationship Id="rId1" Type="http://schemas.openxmlformats.org/officeDocument/2006/relationships/numbering" Target="numbering.xml"/><Relationship Id="rId6" Type="http://schemas.openxmlformats.org/officeDocument/2006/relationships/hyperlink" Target="http://www.aimr.ro/legislatie/legislatie-romaneasca/" TargetMode="External"/><Relationship Id="rId11" Type="http://schemas.openxmlformats.org/officeDocument/2006/relationships/hyperlink" Target="http://www.aimr.ro/custompage/directiva-92100cee/" TargetMode="External"/><Relationship Id="rId24" Type="http://schemas.openxmlformats.org/officeDocument/2006/relationships/hyperlink" Target="http://www.mai.gov.ro/Home/index.htm" TargetMode="External"/><Relationship Id="rId5" Type="http://schemas.openxmlformats.org/officeDocument/2006/relationships/webSettings" Target="webSettings.xml"/><Relationship Id="rId15" Type="http://schemas.openxmlformats.org/officeDocument/2006/relationships/hyperlink" Target="http://www.aimr.ro/custompage/directiva-200448ce/" TargetMode="External"/><Relationship Id="rId23" Type="http://schemas.openxmlformats.org/officeDocument/2006/relationships/hyperlink" Target="http://www.orda.ro" TargetMode="External"/><Relationship Id="rId28" Type="http://schemas.openxmlformats.org/officeDocument/2006/relationships/hyperlink" Target="http://www.iipa.com/" TargetMode="External"/><Relationship Id="rId10" Type="http://schemas.openxmlformats.org/officeDocument/2006/relationships/hyperlink" Target="http://www.aimr.ro/custompage/directiva-9398cee/" TargetMode="External"/><Relationship Id="rId19" Type="http://schemas.openxmlformats.org/officeDocument/2006/relationships/hyperlink" Target="http://www.aimr.ro/custompage/conventia-internationala-de-la-rom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mr.ro/custompage/directiva-9383cee/" TargetMode="External"/><Relationship Id="rId14" Type="http://schemas.openxmlformats.org/officeDocument/2006/relationships/hyperlink" Target="http://www.aimr.ro/custompage/directiva-200184ce/" TargetMode="External"/><Relationship Id="rId22" Type="http://schemas.openxmlformats.org/officeDocument/2006/relationships/hyperlink" Target="http://ifpi.org/" TargetMode="External"/><Relationship Id="rId27" Type="http://schemas.openxmlformats.org/officeDocument/2006/relationships/hyperlink" Target="http://www.pro-music.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2153</Words>
  <Characters>12273</Characters>
  <Application>Microsoft Office Word</Application>
  <DocSecurity>0</DocSecurity>
  <Lines>102</Lines>
  <Paragraphs>28</Paragraphs>
  <ScaleCrop>false</ScaleCrop>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Lungu</dc:creator>
  <cp:keywords/>
  <dc:description/>
  <cp:lastModifiedBy>Mihai Lungu</cp:lastModifiedBy>
  <cp:revision>7</cp:revision>
  <dcterms:created xsi:type="dcterms:W3CDTF">2017-07-07T12:28:00Z</dcterms:created>
  <dcterms:modified xsi:type="dcterms:W3CDTF">2017-07-07T12:51:00Z</dcterms:modified>
</cp:coreProperties>
</file>